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rPr>
          <w:rFonts w:ascii="Times New Roman" w:hAnsi="Times New Roman" w:cs="Times New Roman"/>
          <w:b/>
          <w:b/>
          <w:bCs/>
          <w:sz w:val="24"/>
          <w:szCs w:val="24"/>
        </w:rPr>
      </w:pPr>
      <w:r>
        <w:rPr>
          <w:rFonts w:cs="Times New Roman" w:ascii="Times New Roman" w:hAnsi="Times New Roman"/>
          <w:b/>
          <w:bCs/>
          <w:sz w:val="24"/>
          <w:szCs w:val="24"/>
        </w:rPr>
        <w:t>REPUBLIKA HRVATSKA</w:t>
      </w:r>
    </w:p>
    <w:p>
      <w:pPr>
        <w:pStyle w:val="Normal"/>
        <w:spacing w:lineRule="auto" w:line="240" w:before="0" w:after="0"/>
        <w:rPr>
          <w:rFonts w:ascii="Times New Roman" w:hAnsi="Times New Roman" w:cs="Times New Roman"/>
          <w:b/>
          <w:b/>
          <w:bCs/>
          <w:sz w:val="24"/>
          <w:szCs w:val="24"/>
        </w:rPr>
      </w:pPr>
      <w:r>
        <w:rPr>
          <w:rFonts w:cs="Times New Roman" w:ascii="Times New Roman" w:hAnsi="Times New Roman"/>
          <w:b/>
          <w:bCs/>
          <w:sz w:val="24"/>
          <w:szCs w:val="24"/>
        </w:rPr>
        <w:t>SPLITSKO-DALMATINSKA ŽUPANIJA</w:t>
      </w:r>
    </w:p>
    <w:p>
      <w:pPr>
        <w:pStyle w:val="Normal"/>
        <w:spacing w:lineRule="auto" w:line="240" w:before="0" w:after="0"/>
        <w:rPr>
          <w:rFonts w:ascii="Times New Roman" w:hAnsi="Times New Roman" w:cs="Times New Roman"/>
          <w:b/>
          <w:b/>
          <w:bCs/>
          <w:sz w:val="24"/>
          <w:szCs w:val="24"/>
        </w:rPr>
      </w:pPr>
      <w:r>
        <w:rPr>
          <w:rFonts w:cs="Times New Roman" w:ascii="Times New Roman" w:hAnsi="Times New Roman"/>
          <w:b/>
          <w:bCs/>
          <w:sz w:val="24"/>
          <w:szCs w:val="24"/>
        </w:rPr>
        <w:t>OPĆINSKA KNJIŽNICA „HRVATSKA SLOGA“</w:t>
      </w:r>
    </w:p>
    <w:p>
      <w:pPr>
        <w:pStyle w:val="Normal"/>
        <w:spacing w:lineRule="auto" w:line="240" w:before="0" w:after="0"/>
        <w:rPr>
          <w:rFonts w:ascii="Times New Roman" w:hAnsi="Times New Roman" w:cs="Times New Roman"/>
          <w:b/>
          <w:b/>
          <w:bCs/>
          <w:sz w:val="24"/>
          <w:szCs w:val="24"/>
        </w:rPr>
      </w:pPr>
      <w:r>
        <w:rPr>
          <w:rFonts w:cs="Times New Roman" w:ascii="Times New Roman" w:hAnsi="Times New Roman"/>
          <w:b/>
          <w:bCs/>
          <w:sz w:val="24"/>
          <w:szCs w:val="24"/>
        </w:rPr>
        <w:t>GRADAC</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OIB: 84908321428</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t>MB: 01491776</w:t>
      </w:r>
    </w:p>
    <w:p>
      <w:pPr>
        <w:pStyle w:val="Normal"/>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rPr/>
      </w:pPr>
      <w:r>
        <w:rPr/>
      </w:r>
    </w:p>
    <w:p>
      <w:pPr>
        <w:pStyle w:val="Normal"/>
        <w:rPr/>
      </w:pPr>
      <w:r>
        <w:rPr/>
      </w:r>
    </w:p>
    <w:p>
      <w:pPr>
        <w:pStyle w:val="Normal"/>
        <w:jc w:val="center"/>
        <w:rPr>
          <w:rFonts w:ascii="Times New Roman" w:hAnsi="Times New Roman" w:cs="Times New Roman"/>
          <w:b/>
          <w:b/>
          <w:bCs/>
          <w:sz w:val="28"/>
          <w:szCs w:val="28"/>
        </w:rPr>
      </w:pPr>
      <w:r>
        <w:rPr>
          <w:rFonts w:cs="Times New Roman" w:ascii="Times New Roman" w:hAnsi="Times New Roman"/>
          <w:b/>
          <w:bCs/>
          <w:sz w:val="28"/>
          <w:szCs w:val="28"/>
        </w:rPr>
        <w:t>BILJEŠKE UZ FINANCIJSKI IZVJEŠTAJ</w:t>
      </w:r>
    </w:p>
    <w:p>
      <w:pPr>
        <w:pStyle w:val="Normal"/>
        <w:jc w:val="center"/>
        <w:rPr>
          <w:rFonts w:ascii="Times New Roman" w:hAnsi="Times New Roman" w:cs="Times New Roman"/>
          <w:b/>
          <w:b/>
          <w:bCs/>
          <w:sz w:val="28"/>
          <w:szCs w:val="28"/>
        </w:rPr>
      </w:pPr>
      <w:r>
        <w:rPr>
          <w:rFonts w:cs="Times New Roman" w:ascii="Times New Roman" w:hAnsi="Times New Roman"/>
          <w:b/>
          <w:bCs/>
          <w:sz w:val="28"/>
          <w:szCs w:val="28"/>
        </w:rPr>
        <w:t>Za razdoblje od 01.01. do 31.12.2019.</w:t>
      </w:r>
    </w:p>
    <w:p>
      <w:pPr>
        <w:pStyle w:val="Normal"/>
        <w:jc w:val="center"/>
        <w:rPr>
          <w:rFonts w:ascii="Times New Roman" w:hAnsi="Times New Roman" w:cs="Times New Roman"/>
          <w:b/>
          <w:b/>
          <w:bCs/>
          <w:sz w:val="24"/>
          <w:szCs w:val="24"/>
        </w:rPr>
      </w:pPr>
      <w:r>
        <w:rPr>
          <w:rFonts w:cs="Times New Roman" w:ascii="Times New Roman" w:hAnsi="Times New Roman"/>
          <w:b/>
          <w:bCs/>
          <w:sz w:val="24"/>
          <w:szCs w:val="24"/>
        </w:rPr>
      </w:r>
    </w:p>
    <w:p>
      <w:pPr>
        <w:pStyle w:val="ListParagraph"/>
        <w:numPr>
          <w:ilvl w:val="0"/>
          <w:numId w:val="2"/>
        </w:numPr>
        <w:rPr>
          <w:rFonts w:ascii="Times New Roman" w:hAnsi="Times New Roman" w:cs="Times New Roman"/>
          <w:b/>
          <w:b/>
          <w:bCs/>
          <w:i/>
          <w:i/>
          <w:iCs/>
          <w:sz w:val="24"/>
          <w:szCs w:val="24"/>
        </w:rPr>
      </w:pPr>
      <w:r>
        <w:rPr>
          <w:rFonts w:cs="Times New Roman" w:ascii="Times New Roman" w:hAnsi="Times New Roman"/>
          <w:b/>
          <w:bCs/>
          <w:i/>
          <w:iCs/>
          <w:sz w:val="24"/>
          <w:szCs w:val="24"/>
        </w:rPr>
        <w:t>BILJEŠKE UZ BILANCU – OBRAZAC BIL</w:t>
      </w:r>
    </w:p>
    <w:p>
      <w:pPr>
        <w:pStyle w:val="Normal"/>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lineRule="auto" w:line="276"/>
        <w:rPr>
          <w:rFonts w:ascii="Times New Roman" w:hAnsi="Times New Roman" w:cs="Times New Roman"/>
          <w:b/>
          <w:b/>
          <w:bCs/>
          <w:i/>
          <w:i/>
          <w:iCs/>
          <w:sz w:val="24"/>
          <w:szCs w:val="24"/>
        </w:rPr>
      </w:pPr>
      <w:r>
        <w:rPr>
          <w:rFonts w:cs="Times New Roman" w:ascii="Times New Roman" w:hAnsi="Times New Roman"/>
          <w:b/>
          <w:bCs/>
          <w:i/>
          <w:iCs/>
          <w:sz w:val="24"/>
          <w:szCs w:val="24"/>
        </w:rPr>
        <w:t>Nefinancijska imovina</w:t>
      </w:r>
    </w:p>
    <w:p>
      <w:pPr>
        <w:pStyle w:val="Normal"/>
        <w:spacing w:lineRule="auto" w:line="276"/>
        <w:rPr>
          <w:rFonts w:ascii="Times New Roman" w:hAnsi="Times New Roman" w:cs="Times New Roman"/>
          <w:i/>
          <w:i/>
          <w:iCs/>
          <w:sz w:val="24"/>
          <w:szCs w:val="24"/>
        </w:rPr>
      </w:pPr>
      <w:r>
        <w:rPr>
          <w:rFonts w:cs="Times New Roman" w:ascii="Times New Roman" w:hAnsi="Times New Roman"/>
          <w:i/>
          <w:iCs/>
          <w:sz w:val="24"/>
          <w:szCs w:val="24"/>
        </w:rPr>
        <w:t>U 2019. godini Općinska knjižnica „Hrvatska sloga“ nabavila je knjige u vrijednosti od 26.404,10 kn, što s prethodnim godinama čini iznos od 1.081.966,43 kn. Ukupno je otpisano  knjiga 1.000.344,69 kn, stoga sadašnja vrijednost knjiga iznosi 81.621,74 kn. U 2019. godini je nabavljeno računalne opreme u iznosu od 2.575,00 kn (printer) i sitnog inventara u iznosu od 3.907,36 kn. Sadašnja vrijenost nefinancijske imovine na dan 31.12.2019. iznosi 89.776,82 kn.</w:t>
      </w:r>
    </w:p>
    <w:p>
      <w:pPr>
        <w:pStyle w:val="Normal"/>
        <w:spacing w:lineRule="auto" w:line="276"/>
        <w:rPr>
          <w:rFonts w:ascii="Times New Roman" w:hAnsi="Times New Roman" w:cs="Times New Roman"/>
          <w:b/>
          <w:b/>
          <w:bCs/>
          <w:i/>
          <w:i/>
          <w:iCs/>
          <w:sz w:val="24"/>
          <w:szCs w:val="24"/>
        </w:rPr>
      </w:pPr>
      <w:r>
        <w:rPr>
          <w:rFonts w:cs="Times New Roman" w:ascii="Times New Roman" w:hAnsi="Times New Roman"/>
          <w:b/>
          <w:bCs/>
          <w:i/>
          <w:iCs/>
          <w:sz w:val="24"/>
          <w:szCs w:val="24"/>
        </w:rPr>
        <w:t xml:space="preserve">Financijska imovina </w:t>
      </w:r>
    </w:p>
    <w:p>
      <w:pPr>
        <w:pStyle w:val="Normal"/>
        <w:spacing w:lineRule="auto" w:line="276"/>
        <w:rPr>
          <w:rFonts w:ascii="Times New Roman" w:hAnsi="Times New Roman" w:cs="Times New Roman"/>
          <w:i/>
          <w:i/>
          <w:iCs/>
          <w:sz w:val="24"/>
          <w:szCs w:val="24"/>
        </w:rPr>
      </w:pPr>
      <w:r>
        <w:rPr>
          <w:rFonts w:cs="Times New Roman" w:ascii="Times New Roman" w:hAnsi="Times New Roman"/>
          <w:i/>
          <w:iCs/>
          <w:sz w:val="24"/>
          <w:szCs w:val="24"/>
        </w:rPr>
        <w:t>Stanje na žiro računu na dan 31.12.2019. iznosi 0,00 kn zbog zatvaranja bankovnog računa Općinske knjižnice „Hrvatska sloga“ radi uvođenja riznice i prebacivanja novca na jedinstveni račun Općine Gradac. Iznos od 5.088,23 kn sa žiro računa knjižnice je prebačen na jedinstveni račun Općine Gradac zbog čega potraživanja za prihode iz proračuna iznose 5.088,23 kn. Novac u blagajni na dan 31.12.2019. iznosi 194,10 kn.</w:t>
      </w:r>
    </w:p>
    <w:p>
      <w:pPr>
        <w:pStyle w:val="Normal"/>
        <w:spacing w:lineRule="auto" w:line="276"/>
        <w:rPr>
          <w:rFonts w:ascii="Times New Roman" w:hAnsi="Times New Roman" w:cs="Times New Roman"/>
          <w:b/>
          <w:b/>
          <w:bCs/>
          <w:i/>
          <w:i/>
          <w:iCs/>
          <w:sz w:val="24"/>
          <w:szCs w:val="24"/>
        </w:rPr>
      </w:pPr>
      <w:r>
        <w:rPr>
          <w:rFonts w:cs="Times New Roman" w:ascii="Times New Roman" w:hAnsi="Times New Roman"/>
          <w:b/>
          <w:bCs/>
          <w:i/>
          <w:iCs/>
          <w:sz w:val="24"/>
          <w:szCs w:val="24"/>
        </w:rPr>
        <w:t>Obveze</w:t>
      </w:r>
    </w:p>
    <w:p>
      <w:pPr>
        <w:pStyle w:val="Normal"/>
        <w:spacing w:lineRule="auto" w:line="276"/>
        <w:rPr>
          <w:rFonts w:ascii="Times New Roman" w:hAnsi="Times New Roman" w:cs="Times New Roman"/>
          <w:i/>
          <w:i/>
          <w:iCs/>
          <w:sz w:val="24"/>
          <w:szCs w:val="24"/>
        </w:rPr>
      </w:pPr>
      <w:r>
        <w:rPr>
          <w:rFonts w:cs="Times New Roman" w:ascii="Times New Roman" w:hAnsi="Times New Roman"/>
          <w:i/>
          <w:iCs/>
          <w:sz w:val="24"/>
          <w:szCs w:val="24"/>
        </w:rPr>
        <w:t xml:space="preserve">Nepodmirene obveze na dan 31.12.2019. iznose 8.232,02 kn. Odnose se na obveze prema dobavljačima. </w:t>
      </w:r>
    </w:p>
    <w:p>
      <w:pPr>
        <w:pStyle w:val="Normal"/>
        <w:spacing w:lineRule="auto" w:line="276"/>
        <w:rPr>
          <w:rFonts w:ascii="Times New Roman" w:hAnsi="Times New Roman" w:cs="Times New Roman"/>
          <w:i/>
          <w:i/>
          <w:iCs/>
          <w:sz w:val="24"/>
          <w:szCs w:val="24"/>
        </w:rPr>
      </w:pPr>
      <w:r>
        <w:rPr>
          <w:rFonts w:cs="Times New Roman" w:ascii="Times New Roman" w:hAnsi="Times New Roman"/>
          <w:i/>
          <w:iCs/>
          <w:sz w:val="24"/>
          <w:szCs w:val="24"/>
        </w:rPr>
      </w:r>
    </w:p>
    <w:p>
      <w:pPr>
        <w:pStyle w:val="Normal"/>
        <w:spacing w:lineRule="auto" w:line="276"/>
        <w:rPr>
          <w:rFonts w:ascii="Times New Roman" w:hAnsi="Times New Roman" w:cs="Times New Roman"/>
          <w:b/>
          <w:b/>
          <w:bCs/>
          <w:i/>
          <w:i/>
          <w:iCs/>
          <w:sz w:val="24"/>
          <w:szCs w:val="24"/>
        </w:rPr>
      </w:pPr>
      <w:r>
        <w:rPr>
          <w:rFonts w:cs="Times New Roman" w:ascii="Times New Roman" w:hAnsi="Times New Roman"/>
          <w:b/>
          <w:bCs/>
          <w:i/>
          <w:iCs/>
          <w:sz w:val="24"/>
          <w:szCs w:val="24"/>
        </w:rPr>
        <w:t>Vlastiti izvori</w:t>
      </w:r>
    </w:p>
    <w:p>
      <w:pPr>
        <w:pStyle w:val="Normal"/>
        <w:spacing w:lineRule="auto" w:line="276"/>
        <w:rPr>
          <w:rFonts w:ascii="Times New Roman" w:hAnsi="Times New Roman" w:cs="Times New Roman"/>
          <w:i/>
          <w:i/>
          <w:iCs/>
          <w:sz w:val="24"/>
          <w:szCs w:val="24"/>
        </w:rPr>
      </w:pPr>
      <w:r>
        <w:rPr>
          <w:rFonts w:cs="Times New Roman" w:ascii="Times New Roman" w:hAnsi="Times New Roman"/>
          <w:i/>
          <w:iCs/>
          <w:sz w:val="24"/>
          <w:szCs w:val="24"/>
        </w:rPr>
        <w:t>Na dan 31.12.2019. Općinska knjižnica ima višak prihoda od poslovanja u iznosu od 126.773,34 kn, međutim manjak od nefinancijske imovine iznosi 129.723,03 kn čime rezultat poslovanja predstavlja manjak od 2.949,69 kn. Vlastiti izvori iznose 86.827,13 kn.</w:t>
      </w:r>
    </w:p>
    <w:p>
      <w:pPr>
        <w:pStyle w:val="Normal"/>
        <w:spacing w:lineRule="auto" w:line="276"/>
        <w:rPr>
          <w:rFonts w:ascii="Times New Roman" w:hAnsi="Times New Roman" w:cs="Times New Roman"/>
          <w:i/>
          <w:i/>
          <w:iCs/>
          <w:sz w:val="24"/>
          <w:szCs w:val="24"/>
        </w:rPr>
      </w:pPr>
      <w:r>
        <w:rPr>
          <w:rFonts w:cs="Times New Roman" w:ascii="Times New Roman" w:hAnsi="Times New Roman"/>
          <w:i/>
          <w:iCs/>
          <w:sz w:val="24"/>
          <w:szCs w:val="24"/>
        </w:rPr>
      </w:r>
    </w:p>
    <w:p>
      <w:pPr>
        <w:pStyle w:val="Normal"/>
        <w:spacing w:lineRule="auto" w:line="276"/>
        <w:rPr>
          <w:rFonts w:ascii="Times New Roman" w:hAnsi="Times New Roman" w:cs="Times New Roman"/>
          <w:i/>
          <w:i/>
          <w:iCs/>
          <w:sz w:val="24"/>
          <w:szCs w:val="24"/>
        </w:rPr>
      </w:pPr>
      <w:r>
        <w:rPr>
          <w:rFonts w:cs="Times New Roman" w:ascii="Times New Roman" w:hAnsi="Times New Roman"/>
          <w:i/>
          <w:iCs/>
          <w:sz w:val="24"/>
          <w:szCs w:val="24"/>
        </w:rPr>
        <w:t>Općinska knjižnica u 2019. godini nije imala poslovne događaje i transakcije vezane za tablice: o jamstvima, danih zajmova i primljenih otplata, primljenih zajmova i otplata, primljenih kredita i financijskih najmova i dospjelih kamata na zajmove i dugoročnih depozita.</w:t>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rPr>
          <w:rFonts w:ascii="Times New Roman" w:hAnsi="Times New Roman" w:cs="Times New Roman"/>
          <w:sz w:val="24"/>
          <w:szCs w:val="24"/>
        </w:rPr>
      </w:pPr>
      <w:r>
        <w:rPr>
          <w:rFonts w:cs="Times New Roman" w:ascii="Times New Roman" w:hAnsi="Times New Roman"/>
          <w:sz w:val="24"/>
          <w:szCs w:val="24"/>
        </w:rPr>
      </w:r>
    </w:p>
    <w:p>
      <w:pPr>
        <w:pStyle w:val="ListParagraph"/>
        <w:numPr>
          <w:ilvl w:val="0"/>
          <w:numId w:val="2"/>
        </w:numPr>
        <w:spacing w:lineRule="auto" w:line="276"/>
        <w:rPr>
          <w:rFonts w:ascii="Times New Roman" w:hAnsi="Times New Roman" w:cs="Times New Roman"/>
          <w:b/>
          <w:b/>
          <w:bCs/>
          <w:sz w:val="24"/>
          <w:szCs w:val="24"/>
        </w:rPr>
      </w:pPr>
      <w:r>
        <w:rPr>
          <w:rFonts w:cs="Times New Roman" w:ascii="Times New Roman" w:hAnsi="Times New Roman"/>
          <w:b/>
          <w:bCs/>
          <w:sz w:val="24"/>
          <w:szCs w:val="24"/>
        </w:rPr>
        <w:t>BILJEŠKE UZ IZVJEŠTAJ O PRIHODIMA I RASHODIMA, PRIMICIMA I IZDACIMA – OBRAZAC PR-RAS</w:t>
      </w:r>
    </w:p>
    <w:p>
      <w:pPr>
        <w:pStyle w:val="Normal"/>
        <w:spacing w:lineRule="auto" w:line="276"/>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lineRule="auto" w:line="276"/>
        <w:rPr>
          <w:rFonts w:ascii="Times New Roman" w:hAnsi="Times New Roman" w:cs="Times New Roman"/>
          <w:i/>
          <w:i/>
          <w:iCs/>
          <w:sz w:val="24"/>
          <w:szCs w:val="24"/>
        </w:rPr>
      </w:pPr>
      <w:r>
        <w:rPr>
          <w:rFonts w:cs="Times New Roman" w:ascii="Times New Roman" w:hAnsi="Times New Roman"/>
          <w:i/>
          <w:iCs/>
          <w:sz w:val="24"/>
          <w:szCs w:val="24"/>
        </w:rPr>
        <w:t>AOP 001 Prihodi poslovanja iznose 237.114,95 kn što je više za 5,1 % u odnosu na prethodnu godinu. Razlog povećanja prihoda su više doznačena sredstva od nadležnog proračuna za financiranje rashoda poslovanja koji su veći za 4,7% u odnosu na prethodnu godinu i za financiranje nabave nefinancijske imovine 4,4%, te povećanje prihoda od naplate godišnjih članarina 13,9% u odnosu na prethodnu godinu što znači da se broj članova povećao. Knjižnica je u 2019. godini imala donaciju od TZ Drvenik u iznosu od 400,00 kn i od TZ Gradac 800,00 kn.</w:t>
      </w:r>
    </w:p>
    <w:p>
      <w:pPr>
        <w:pStyle w:val="Normal"/>
        <w:spacing w:lineRule="auto" w:line="276"/>
        <w:rPr>
          <w:rFonts w:ascii="Times New Roman" w:hAnsi="Times New Roman" w:cs="Times New Roman"/>
          <w:i/>
          <w:i/>
          <w:iCs/>
          <w:sz w:val="24"/>
          <w:szCs w:val="24"/>
        </w:rPr>
      </w:pPr>
      <w:r>
        <w:rPr>
          <w:rFonts w:cs="Times New Roman" w:ascii="Times New Roman" w:hAnsi="Times New Roman"/>
          <w:i/>
          <w:iCs/>
          <w:sz w:val="24"/>
          <w:szCs w:val="24"/>
        </w:rPr>
        <w:t>Prihodi su:</w:t>
      </w:r>
    </w:p>
    <w:p>
      <w:pPr>
        <w:pStyle w:val="ListParagraph"/>
        <w:numPr>
          <w:ilvl w:val="0"/>
          <w:numId w:val="1"/>
        </w:numPr>
        <w:spacing w:lineRule="auto" w:line="276"/>
        <w:rPr>
          <w:rFonts w:ascii="Times New Roman" w:hAnsi="Times New Roman" w:cs="Times New Roman"/>
          <w:i/>
          <w:i/>
          <w:iCs/>
          <w:sz w:val="24"/>
          <w:szCs w:val="24"/>
        </w:rPr>
      </w:pPr>
      <w:r>
        <w:rPr>
          <w:rFonts w:cs="Times New Roman" w:ascii="Times New Roman" w:hAnsi="Times New Roman"/>
          <w:i/>
          <w:iCs/>
          <w:sz w:val="24"/>
          <w:szCs w:val="24"/>
        </w:rPr>
        <w:t>AOP 056 Kapitalne pomoći proračunu iz drugih proračuna (Ministarstvo kulture) za nabavu knjiga i literature</w:t>
      </w:r>
    </w:p>
    <w:p>
      <w:pPr>
        <w:pStyle w:val="ListParagraph"/>
        <w:numPr>
          <w:ilvl w:val="0"/>
          <w:numId w:val="1"/>
        </w:numPr>
        <w:spacing w:lineRule="auto" w:line="276"/>
        <w:rPr>
          <w:rFonts w:ascii="Times New Roman" w:hAnsi="Times New Roman" w:cs="Times New Roman"/>
          <w:i/>
          <w:i/>
          <w:iCs/>
          <w:sz w:val="24"/>
          <w:szCs w:val="24"/>
        </w:rPr>
      </w:pPr>
      <w:r>
        <w:rPr>
          <w:rFonts w:cs="Times New Roman" w:ascii="Times New Roman" w:hAnsi="Times New Roman"/>
          <w:i/>
          <w:iCs/>
          <w:sz w:val="24"/>
          <w:szCs w:val="24"/>
        </w:rPr>
        <w:t>AOP 077 kamate na depozite po viđenju 0,57 kn</w:t>
      </w:r>
    </w:p>
    <w:p>
      <w:pPr>
        <w:pStyle w:val="ListParagraph"/>
        <w:numPr>
          <w:ilvl w:val="0"/>
          <w:numId w:val="1"/>
        </w:numPr>
        <w:spacing w:lineRule="auto" w:line="276"/>
        <w:rPr>
          <w:rFonts w:ascii="Times New Roman" w:hAnsi="Times New Roman" w:cs="Times New Roman"/>
          <w:i/>
          <w:i/>
          <w:iCs/>
          <w:sz w:val="24"/>
          <w:szCs w:val="24"/>
        </w:rPr>
      </w:pPr>
      <w:r>
        <w:rPr>
          <w:rFonts w:cs="Times New Roman" w:ascii="Times New Roman" w:hAnsi="Times New Roman"/>
          <w:i/>
          <w:iCs/>
          <w:sz w:val="24"/>
          <w:szCs w:val="24"/>
        </w:rPr>
        <w:t>AOP 116 ostali nespomenuti prihodi (članarine) 5.310,00 kn koje plaćaju korisnici u iznosu od 50,00 kn ili 80,00 kn (zaposleni) po osobi godišnje.</w:t>
      </w:r>
    </w:p>
    <w:p>
      <w:pPr>
        <w:pStyle w:val="ListParagraph"/>
        <w:numPr>
          <w:ilvl w:val="0"/>
          <w:numId w:val="1"/>
        </w:numPr>
        <w:spacing w:lineRule="auto" w:line="276"/>
        <w:rPr>
          <w:rFonts w:ascii="Times New Roman" w:hAnsi="Times New Roman" w:cs="Times New Roman"/>
          <w:i/>
          <w:i/>
          <w:iCs/>
          <w:sz w:val="24"/>
          <w:szCs w:val="24"/>
        </w:rPr>
      </w:pPr>
      <w:r>
        <w:rPr>
          <w:rFonts w:cs="Times New Roman" w:ascii="Times New Roman" w:hAnsi="Times New Roman"/>
          <w:i/>
          <w:iCs/>
          <w:sz w:val="24"/>
          <w:szCs w:val="24"/>
        </w:rPr>
        <w:t>AOP 132 prihodi iz nadležnog proračuna za financiranje rashoda poslovanja u iznosu od 198.625,28 kn</w:t>
      </w:r>
    </w:p>
    <w:p>
      <w:pPr>
        <w:pStyle w:val="ListParagraph"/>
        <w:numPr>
          <w:ilvl w:val="0"/>
          <w:numId w:val="1"/>
        </w:numPr>
        <w:spacing w:lineRule="auto" w:line="276"/>
        <w:rPr>
          <w:rFonts w:ascii="Times New Roman" w:hAnsi="Times New Roman" w:cs="Times New Roman"/>
          <w:i/>
          <w:i/>
          <w:iCs/>
          <w:sz w:val="24"/>
          <w:szCs w:val="24"/>
        </w:rPr>
      </w:pPr>
      <w:r>
        <w:rPr>
          <w:rFonts w:cs="Times New Roman" w:ascii="Times New Roman" w:hAnsi="Times New Roman"/>
          <w:i/>
          <w:iCs/>
          <w:sz w:val="24"/>
          <w:szCs w:val="24"/>
        </w:rPr>
        <w:t>AOP 133 prihodi iz nadležnog proračuna za financiranje rashoda za nabavu nefinancijske imovine u iznosu od 16.979,10 kn.</w:t>
      </w:r>
    </w:p>
    <w:p>
      <w:pPr>
        <w:pStyle w:val="ListParagraph"/>
        <w:numPr>
          <w:ilvl w:val="0"/>
          <w:numId w:val="1"/>
        </w:numPr>
        <w:spacing w:lineRule="auto" w:line="276"/>
        <w:rPr>
          <w:rFonts w:ascii="Times New Roman" w:hAnsi="Times New Roman" w:cs="Times New Roman"/>
          <w:i/>
          <w:i/>
          <w:iCs/>
          <w:sz w:val="24"/>
          <w:szCs w:val="24"/>
        </w:rPr>
      </w:pPr>
      <w:r>
        <w:rPr>
          <w:rFonts w:cs="Times New Roman" w:ascii="Times New Roman" w:hAnsi="Times New Roman"/>
          <w:i/>
          <w:iCs/>
          <w:sz w:val="24"/>
          <w:szCs w:val="24"/>
        </w:rPr>
        <w:t>AOP 128 tekuće donacije od TZ Drvenik u iznosu od 400,00 kn i od TZ Gradac 800,00 kn, sveukupno 1.200,00 kn.</w:t>
      </w:r>
    </w:p>
    <w:p>
      <w:pPr>
        <w:pStyle w:val="Normal"/>
        <w:spacing w:lineRule="auto" w:line="276"/>
        <w:ind w:left="360" w:hanging="0"/>
        <w:rPr>
          <w:rFonts w:ascii="Times New Roman" w:hAnsi="Times New Roman" w:cs="Times New Roman"/>
          <w:i/>
          <w:i/>
          <w:iCs/>
          <w:sz w:val="24"/>
          <w:szCs w:val="24"/>
        </w:rPr>
      </w:pPr>
      <w:r>
        <w:rPr>
          <w:rFonts w:cs="Times New Roman" w:ascii="Times New Roman" w:hAnsi="Times New Roman"/>
          <w:i/>
          <w:iCs/>
          <w:sz w:val="24"/>
          <w:szCs w:val="24"/>
        </w:rPr>
      </w:r>
    </w:p>
    <w:p>
      <w:pPr>
        <w:pStyle w:val="ListParagraph"/>
        <w:spacing w:lineRule="auto" w:line="276"/>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76"/>
        <w:rPr>
          <w:rFonts w:ascii="Times New Roman" w:hAnsi="Times New Roman" w:cs="Times New Roman"/>
          <w:i/>
          <w:i/>
          <w:iCs/>
          <w:sz w:val="24"/>
          <w:szCs w:val="24"/>
        </w:rPr>
      </w:pPr>
      <w:r>
        <w:rPr>
          <w:rFonts w:cs="Times New Roman" w:ascii="Times New Roman" w:hAnsi="Times New Roman"/>
          <w:i/>
          <w:iCs/>
          <w:sz w:val="24"/>
          <w:szCs w:val="24"/>
        </w:rPr>
        <w:t>AOP 148 Ukupni rashodi poslovanja iznose 208.773,69 kn i ostvareni su veći za 3,4% u odnosu na prethodnu godinu, a odnose se na:</w:t>
      </w:r>
    </w:p>
    <w:p>
      <w:pPr>
        <w:pStyle w:val="ListParagraph"/>
        <w:numPr>
          <w:ilvl w:val="0"/>
          <w:numId w:val="3"/>
        </w:numPr>
        <w:spacing w:lineRule="auto" w:line="276"/>
        <w:rPr>
          <w:rFonts w:ascii="Times New Roman" w:hAnsi="Times New Roman" w:cs="Times New Roman"/>
          <w:i/>
          <w:i/>
          <w:iCs/>
          <w:sz w:val="24"/>
          <w:szCs w:val="24"/>
        </w:rPr>
      </w:pPr>
      <w:r>
        <w:rPr>
          <w:rFonts w:cs="Times New Roman" w:ascii="Times New Roman" w:hAnsi="Times New Roman"/>
          <w:i/>
          <w:iCs/>
          <w:sz w:val="24"/>
          <w:szCs w:val="24"/>
        </w:rPr>
        <w:t>AOP 149 rashodi za zaposlene u iznosu od 181.197,81 kn</w:t>
      </w:r>
    </w:p>
    <w:p>
      <w:pPr>
        <w:pStyle w:val="ListParagraph"/>
        <w:numPr>
          <w:ilvl w:val="0"/>
          <w:numId w:val="3"/>
        </w:numPr>
        <w:spacing w:lineRule="auto" w:line="276"/>
        <w:rPr>
          <w:rFonts w:ascii="Times New Roman" w:hAnsi="Times New Roman" w:cs="Times New Roman"/>
          <w:i/>
          <w:i/>
          <w:iCs/>
          <w:sz w:val="24"/>
          <w:szCs w:val="24"/>
        </w:rPr>
      </w:pPr>
      <w:r>
        <w:rPr>
          <w:rFonts w:cs="Times New Roman" w:ascii="Times New Roman" w:hAnsi="Times New Roman"/>
          <w:i/>
          <w:iCs/>
          <w:sz w:val="24"/>
          <w:szCs w:val="24"/>
        </w:rPr>
        <w:t>AOP 160 materijalni rashodi u iznosu od 26.623,98 kn</w:t>
      </w:r>
    </w:p>
    <w:p>
      <w:pPr>
        <w:pStyle w:val="ListParagraph"/>
        <w:numPr>
          <w:ilvl w:val="0"/>
          <w:numId w:val="3"/>
        </w:numPr>
        <w:spacing w:lineRule="auto" w:line="276"/>
        <w:rPr>
          <w:rFonts w:ascii="Times New Roman" w:hAnsi="Times New Roman" w:cs="Times New Roman"/>
          <w:i/>
          <w:i/>
          <w:iCs/>
          <w:sz w:val="24"/>
          <w:szCs w:val="24"/>
        </w:rPr>
      </w:pPr>
      <w:r>
        <w:rPr>
          <w:rFonts w:cs="Times New Roman" w:ascii="Times New Roman" w:hAnsi="Times New Roman"/>
          <w:i/>
          <w:iCs/>
          <w:sz w:val="24"/>
          <w:szCs w:val="24"/>
        </w:rPr>
        <w:t>AOP 193 financijski rashodi (usluge platnog prometa) 951,90 kn</w:t>
      </w:r>
    </w:p>
    <w:p>
      <w:pPr>
        <w:pStyle w:val="Normal"/>
        <w:spacing w:lineRule="auto" w:line="276"/>
        <w:rPr>
          <w:rFonts w:ascii="Times New Roman" w:hAnsi="Times New Roman" w:cs="Times New Roman"/>
          <w:i/>
          <w:i/>
          <w:iCs/>
          <w:sz w:val="24"/>
          <w:szCs w:val="24"/>
        </w:rPr>
      </w:pPr>
      <w:bookmarkStart w:id="0" w:name="_GoBack"/>
      <w:bookmarkStart w:id="1" w:name="_GoBack"/>
      <w:bookmarkEnd w:id="1"/>
      <w:r>
        <w:rPr>
          <w:rFonts w:cs="Times New Roman" w:ascii="Times New Roman" w:hAnsi="Times New Roman"/>
          <w:i/>
          <w:iCs/>
          <w:sz w:val="24"/>
          <w:szCs w:val="24"/>
        </w:rPr>
      </w:r>
    </w:p>
    <w:p>
      <w:pPr>
        <w:pStyle w:val="Normal"/>
        <w:spacing w:lineRule="auto" w:line="276"/>
        <w:rPr>
          <w:rFonts w:ascii="Times New Roman" w:hAnsi="Times New Roman" w:cs="Times New Roman"/>
          <w:i/>
          <w:i/>
          <w:iCs/>
          <w:sz w:val="24"/>
          <w:szCs w:val="24"/>
        </w:rPr>
      </w:pPr>
      <w:r>
        <w:rPr>
          <w:rFonts w:cs="Times New Roman" w:ascii="Times New Roman" w:hAnsi="Times New Roman"/>
          <w:i/>
          <w:iCs/>
          <w:sz w:val="24"/>
          <w:szCs w:val="24"/>
        </w:rPr>
        <w:t>AOP 341 Rashodi za nabavu nefinancijske imovine iznose 28.979,10 i veći su za 2,7%, a obuhvaćaju rashode za nabavu knjiga (26.404,10 kn) i rashode za nabavu uredske opreme i namještaja (2.575,00 kn).</w:t>
      </w:r>
    </w:p>
    <w:p>
      <w:pPr>
        <w:pStyle w:val="Normal"/>
        <w:spacing w:lineRule="auto" w:line="276"/>
        <w:rPr>
          <w:rFonts w:ascii="Times New Roman" w:hAnsi="Times New Roman" w:cs="Times New Roman"/>
          <w:i/>
          <w:i/>
          <w:iCs/>
          <w:sz w:val="24"/>
          <w:szCs w:val="24"/>
        </w:rPr>
      </w:pPr>
      <w:r>
        <w:rPr>
          <w:rFonts w:cs="Times New Roman" w:ascii="Times New Roman" w:hAnsi="Times New Roman"/>
          <w:i/>
          <w:iCs/>
          <w:sz w:val="24"/>
          <w:szCs w:val="24"/>
        </w:rPr>
        <w:t>AOP 632, 634 i 636 – Preneseni manjak prihoda i primitaka iz ranijih godina iznosi 2.311,85 kn, a manjak prihoda i primitaka ostvaren u 2019. godini iznosi 637,84 kn.</w:t>
      </w:r>
    </w:p>
    <w:p>
      <w:pPr>
        <w:pStyle w:val="Normal"/>
        <w:spacing w:lineRule="auto" w:line="276"/>
        <w:rPr>
          <w:rFonts w:ascii="Times New Roman" w:hAnsi="Times New Roman" w:cs="Times New Roman"/>
          <w:i/>
          <w:i/>
          <w:iCs/>
          <w:sz w:val="24"/>
          <w:szCs w:val="24"/>
        </w:rPr>
      </w:pPr>
      <w:r>
        <w:rPr>
          <w:rFonts w:cs="Times New Roman" w:ascii="Times New Roman" w:hAnsi="Times New Roman"/>
          <w:i/>
          <w:iCs/>
          <w:sz w:val="24"/>
          <w:szCs w:val="24"/>
        </w:rPr>
        <w:t>Ukupan manjak prihoda za prijenos je 2.949,69 kn (AOP 636).</w:t>
      </w:r>
    </w:p>
    <w:p>
      <w:pPr>
        <w:pStyle w:val="Normal"/>
        <w:spacing w:lineRule="auto" w:line="276"/>
        <w:rPr>
          <w:rFonts w:ascii="Times New Roman" w:hAnsi="Times New Roman" w:cs="Times New Roman"/>
          <w:i/>
          <w:i/>
          <w:iCs/>
          <w:sz w:val="24"/>
          <w:szCs w:val="24"/>
        </w:rPr>
      </w:pPr>
      <w:r>
        <w:rPr>
          <w:rFonts w:cs="Times New Roman" w:ascii="Times New Roman" w:hAnsi="Times New Roman"/>
          <w:i/>
          <w:iCs/>
          <w:sz w:val="24"/>
          <w:szCs w:val="24"/>
        </w:rPr>
      </w:r>
    </w:p>
    <w:p>
      <w:pPr>
        <w:pStyle w:val="ListParagraph"/>
        <w:numPr>
          <w:ilvl w:val="0"/>
          <w:numId w:val="2"/>
        </w:numPr>
        <w:spacing w:lineRule="auto" w:line="276"/>
        <w:rPr>
          <w:rFonts w:ascii="Times New Roman" w:hAnsi="Times New Roman" w:cs="Times New Roman"/>
          <w:b/>
          <w:b/>
          <w:bCs/>
          <w:i/>
          <w:i/>
          <w:iCs/>
          <w:sz w:val="24"/>
          <w:szCs w:val="24"/>
        </w:rPr>
      </w:pPr>
      <w:r>
        <w:rPr>
          <w:rFonts w:cs="Times New Roman" w:ascii="Times New Roman" w:hAnsi="Times New Roman"/>
          <w:b/>
          <w:bCs/>
          <w:i/>
          <w:iCs/>
          <w:sz w:val="24"/>
          <w:szCs w:val="24"/>
        </w:rPr>
        <w:t>BILJEŠKE UZ IZVJEŠTAJ O RASHODMA PREMA FUNKCIJSKOJ KLASIFIKACIJI – OBRAZAC RAS-FUNKCIJSKI</w:t>
      </w:r>
    </w:p>
    <w:p>
      <w:pPr>
        <w:pStyle w:val="ListParagraph"/>
        <w:spacing w:lineRule="auto" w:line="276"/>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lineRule="auto" w:line="276"/>
        <w:rPr>
          <w:rFonts w:ascii="Times New Roman" w:hAnsi="Times New Roman" w:cs="Times New Roman"/>
          <w:i/>
          <w:i/>
          <w:iCs/>
          <w:sz w:val="24"/>
          <w:szCs w:val="24"/>
        </w:rPr>
      </w:pPr>
      <w:r>
        <w:rPr>
          <w:rFonts w:cs="Times New Roman" w:ascii="Times New Roman" w:hAnsi="Times New Roman"/>
          <w:i/>
          <w:iCs/>
          <w:sz w:val="24"/>
          <w:szCs w:val="24"/>
        </w:rPr>
        <w:t>AOP 105- Službe kulture -  obuhvaća sve rashode poslovanja Općinske knjižnice „Hrvatska sloga“ ostvarene u 2019. godini. Kako su u knjižnici svi troškovi vezani uz funkciju službe kulture, tako su i razvrstani u jednu funkciju.</w:t>
      </w:r>
    </w:p>
    <w:p>
      <w:pPr>
        <w:pStyle w:val="Normal"/>
        <w:spacing w:lineRule="auto" w:line="276"/>
        <w:rPr>
          <w:rFonts w:ascii="Times New Roman" w:hAnsi="Times New Roman" w:cs="Times New Roman"/>
          <w:i/>
          <w:i/>
          <w:iCs/>
          <w:sz w:val="24"/>
          <w:szCs w:val="24"/>
        </w:rPr>
      </w:pPr>
      <w:r>
        <w:rPr>
          <w:rFonts w:cs="Times New Roman" w:ascii="Times New Roman" w:hAnsi="Times New Roman"/>
          <w:i/>
          <w:iCs/>
          <w:sz w:val="24"/>
          <w:szCs w:val="24"/>
        </w:rPr>
      </w:r>
    </w:p>
    <w:p>
      <w:pPr>
        <w:pStyle w:val="Normal"/>
        <w:spacing w:lineRule="auto" w:line="276"/>
        <w:rPr>
          <w:rFonts w:ascii="Times New Roman" w:hAnsi="Times New Roman" w:cs="Times New Roman"/>
          <w:i/>
          <w:i/>
          <w:iCs/>
          <w:sz w:val="24"/>
          <w:szCs w:val="24"/>
        </w:rPr>
      </w:pPr>
      <w:r>
        <w:rPr>
          <w:rFonts w:cs="Times New Roman" w:ascii="Times New Roman" w:hAnsi="Times New Roman"/>
          <w:i/>
          <w:iCs/>
          <w:sz w:val="24"/>
          <w:szCs w:val="24"/>
        </w:rPr>
      </w:r>
    </w:p>
    <w:p>
      <w:pPr>
        <w:pStyle w:val="ListParagraph"/>
        <w:numPr>
          <w:ilvl w:val="0"/>
          <w:numId w:val="2"/>
        </w:numPr>
        <w:spacing w:lineRule="auto" w:line="276"/>
        <w:rPr>
          <w:rFonts w:ascii="Times New Roman" w:hAnsi="Times New Roman" w:cs="Times New Roman"/>
          <w:b/>
          <w:b/>
          <w:bCs/>
          <w:i/>
          <w:i/>
          <w:iCs/>
          <w:sz w:val="24"/>
          <w:szCs w:val="24"/>
        </w:rPr>
      </w:pPr>
      <w:r>
        <w:rPr>
          <w:rFonts w:cs="Times New Roman" w:ascii="Times New Roman" w:hAnsi="Times New Roman"/>
          <w:b/>
          <w:bCs/>
          <w:i/>
          <w:iCs/>
          <w:sz w:val="24"/>
          <w:szCs w:val="24"/>
        </w:rPr>
        <w:t>BILJEŠKE UZ IZVJEŠTAJ O OBVEZAMA – OBRAZAC OBVEZE</w:t>
      </w:r>
    </w:p>
    <w:p>
      <w:pPr>
        <w:pStyle w:val="ListParagraph"/>
        <w:spacing w:lineRule="auto" w:line="276"/>
        <w:rPr>
          <w:rFonts w:ascii="Times New Roman" w:hAnsi="Times New Roman" w:cs="Times New Roman"/>
          <w:b/>
          <w:b/>
          <w:bCs/>
          <w:i/>
          <w:i/>
          <w:iCs/>
          <w:sz w:val="24"/>
          <w:szCs w:val="24"/>
        </w:rPr>
      </w:pPr>
      <w:r>
        <w:rPr>
          <w:rFonts w:cs="Times New Roman" w:ascii="Times New Roman" w:hAnsi="Times New Roman"/>
          <w:b/>
          <w:bCs/>
          <w:i/>
          <w:iCs/>
          <w:sz w:val="24"/>
          <w:szCs w:val="24"/>
        </w:rPr>
      </w:r>
    </w:p>
    <w:p>
      <w:pPr>
        <w:pStyle w:val="Normal"/>
        <w:spacing w:lineRule="auto" w:line="276"/>
        <w:rPr>
          <w:rFonts w:ascii="Times New Roman" w:hAnsi="Times New Roman" w:cs="Times New Roman"/>
          <w:i/>
          <w:i/>
          <w:iCs/>
          <w:sz w:val="24"/>
          <w:szCs w:val="24"/>
        </w:rPr>
      </w:pPr>
      <w:r>
        <w:rPr>
          <w:rFonts w:cs="Times New Roman" w:ascii="Times New Roman" w:hAnsi="Times New Roman"/>
          <w:i/>
          <w:iCs/>
          <w:sz w:val="24"/>
          <w:szCs w:val="24"/>
        </w:rPr>
        <w:t>AOP 036 – Stanje obveza na kraju izvještajnog razdoblja iznosi 8.232,02 kn (nepodmireni računi dobavljača), a odnosi se na:</w:t>
      </w:r>
    </w:p>
    <w:p>
      <w:pPr>
        <w:pStyle w:val="Normal"/>
        <w:spacing w:lineRule="auto" w:line="276"/>
        <w:rPr>
          <w:rFonts w:ascii="Times New Roman" w:hAnsi="Times New Roman" w:cs="Times New Roman"/>
          <w:i/>
          <w:i/>
          <w:iCs/>
          <w:sz w:val="24"/>
          <w:szCs w:val="24"/>
        </w:rPr>
      </w:pPr>
      <w:r>
        <w:rPr>
          <w:rFonts w:cs="Times New Roman" w:ascii="Times New Roman" w:hAnsi="Times New Roman"/>
          <w:i/>
          <w:iCs/>
          <w:sz w:val="24"/>
          <w:szCs w:val="24"/>
        </w:rPr>
        <w:t>AOP 037 – Stanje dospjelih obveza na kraju izvještajnog razdoblja koje iznosi 7.628,89 kn</w:t>
      </w:r>
    </w:p>
    <w:p>
      <w:pPr>
        <w:pStyle w:val="Normal"/>
        <w:spacing w:lineRule="auto" w:line="276"/>
        <w:rPr>
          <w:rFonts w:ascii="Times New Roman" w:hAnsi="Times New Roman" w:cs="Times New Roman"/>
          <w:i/>
          <w:i/>
          <w:iCs/>
          <w:sz w:val="24"/>
          <w:szCs w:val="24"/>
        </w:rPr>
      </w:pPr>
      <w:r>
        <w:rPr>
          <w:rFonts w:cs="Times New Roman" w:ascii="Times New Roman" w:hAnsi="Times New Roman"/>
          <w:i/>
          <w:iCs/>
          <w:sz w:val="24"/>
          <w:szCs w:val="24"/>
        </w:rPr>
        <w:t>AOP 090 – Stanje nedospjelih obveza na kraju izvještajnog razdoblja koje iznosi 603,13 kn.</w:t>
      </w:r>
    </w:p>
    <w:p>
      <w:pPr>
        <w:pStyle w:val="Normal"/>
        <w:spacing w:lineRule="auto" w:line="276"/>
        <w:rPr>
          <w:rFonts w:ascii="Times New Roman" w:hAnsi="Times New Roman" w:cs="Times New Roman"/>
          <w:i/>
          <w:i/>
          <w:iCs/>
          <w:sz w:val="24"/>
          <w:szCs w:val="24"/>
        </w:rPr>
      </w:pPr>
      <w:r>
        <w:rPr>
          <w:rFonts w:cs="Times New Roman" w:ascii="Times New Roman" w:hAnsi="Times New Roman"/>
          <w:i/>
          <w:iCs/>
          <w:sz w:val="24"/>
          <w:szCs w:val="24"/>
        </w:rPr>
      </w:r>
    </w:p>
    <w:p>
      <w:pPr>
        <w:pStyle w:val="Normal"/>
        <w:spacing w:lineRule="auto" w:line="276"/>
        <w:rPr>
          <w:rFonts w:ascii="Times New Roman" w:hAnsi="Times New Roman" w:cs="Times New Roman"/>
          <w:i/>
          <w:i/>
          <w:iCs/>
          <w:sz w:val="24"/>
          <w:szCs w:val="24"/>
        </w:rPr>
      </w:pPr>
      <w:r>
        <w:rPr>
          <w:rFonts w:cs="Times New Roman" w:ascii="Times New Roman" w:hAnsi="Times New Roman"/>
          <w:i/>
          <w:iCs/>
          <w:sz w:val="24"/>
          <w:szCs w:val="24"/>
        </w:rPr>
      </w:r>
    </w:p>
    <w:p>
      <w:pPr>
        <w:pStyle w:val="ListParagraph"/>
        <w:numPr>
          <w:ilvl w:val="0"/>
          <w:numId w:val="2"/>
        </w:numPr>
        <w:spacing w:lineRule="auto" w:line="276"/>
        <w:rPr>
          <w:rFonts w:ascii="Times New Roman" w:hAnsi="Times New Roman" w:cs="Times New Roman"/>
          <w:b/>
          <w:b/>
          <w:bCs/>
          <w:i/>
          <w:i/>
          <w:iCs/>
          <w:sz w:val="24"/>
          <w:szCs w:val="24"/>
        </w:rPr>
      </w:pPr>
      <w:r>
        <w:rPr>
          <w:rFonts w:cs="Times New Roman" w:ascii="Times New Roman" w:hAnsi="Times New Roman"/>
          <w:b/>
          <w:bCs/>
          <w:i/>
          <w:iCs/>
          <w:sz w:val="24"/>
          <w:szCs w:val="24"/>
        </w:rPr>
        <w:t>BILJEŠKE UZ P-VRIO</w:t>
      </w:r>
    </w:p>
    <w:p>
      <w:pPr>
        <w:pStyle w:val="Normal"/>
        <w:spacing w:lineRule="auto" w:line="276"/>
        <w:rPr>
          <w:rFonts w:ascii="Times New Roman" w:hAnsi="Times New Roman" w:cs="Times New Roman"/>
          <w:i/>
          <w:i/>
          <w:iCs/>
          <w:sz w:val="24"/>
          <w:szCs w:val="24"/>
        </w:rPr>
      </w:pPr>
      <w:r>
        <w:rPr>
          <w:rFonts w:cs="Times New Roman" w:ascii="Times New Roman" w:hAnsi="Times New Roman"/>
          <w:i/>
          <w:iCs/>
          <w:sz w:val="24"/>
          <w:szCs w:val="24"/>
        </w:rPr>
        <w:t>Općinska knjižnica „Hrvatska sloga“ nije imala promjena u obujmu i vrijednosti imovine.</w:t>
      </w:r>
    </w:p>
    <w:p>
      <w:pPr>
        <w:pStyle w:val="Normal"/>
        <w:spacing w:lineRule="auto" w:line="276"/>
        <w:rPr>
          <w:rFonts w:ascii="Times New Roman" w:hAnsi="Times New Roman" w:cs="Times New Roman"/>
          <w:i/>
          <w:i/>
          <w:iCs/>
          <w:sz w:val="24"/>
          <w:szCs w:val="24"/>
        </w:rPr>
      </w:pPr>
      <w:r>
        <w:rPr>
          <w:rFonts w:cs="Times New Roman" w:ascii="Times New Roman" w:hAnsi="Times New Roman"/>
          <w:i/>
          <w:iCs/>
          <w:sz w:val="24"/>
          <w:szCs w:val="24"/>
        </w:rPr>
      </w:r>
    </w:p>
    <w:p>
      <w:pPr>
        <w:pStyle w:val="Normal"/>
        <w:spacing w:lineRule="auto" w:line="276"/>
        <w:rPr>
          <w:rFonts w:ascii="Times New Roman" w:hAnsi="Times New Roman" w:cs="Times New Roman"/>
          <w:i/>
          <w:i/>
          <w:iCs/>
          <w:sz w:val="24"/>
          <w:szCs w:val="24"/>
        </w:rPr>
      </w:pPr>
      <w:r>
        <w:rPr>
          <w:rFonts w:cs="Times New Roman" w:ascii="Times New Roman" w:hAnsi="Times New Roman"/>
          <w:i/>
          <w:iCs/>
          <w:sz w:val="24"/>
          <w:szCs w:val="24"/>
        </w:rPr>
      </w:r>
    </w:p>
    <w:p>
      <w:pPr>
        <w:pStyle w:val="Normal"/>
        <w:spacing w:lineRule="auto" w:line="276"/>
        <w:jc w:val="right"/>
        <w:rPr>
          <w:rFonts w:ascii="Times New Roman" w:hAnsi="Times New Roman" w:cs="Times New Roman"/>
          <w:i/>
          <w:i/>
          <w:iCs/>
          <w:sz w:val="24"/>
          <w:szCs w:val="24"/>
        </w:rPr>
      </w:pPr>
      <w:r>
        <w:rPr>
          <w:rFonts w:cs="Times New Roman" w:ascii="Times New Roman" w:hAnsi="Times New Roman"/>
          <w:i/>
          <w:iCs/>
          <w:sz w:val="24"/>
          <w:szCs w:val="24"/>
        </w:rPr>
      </w:r>
    </w:p>
    <w:p>
      <w:pPr>
        <w:pStyle w:val="Normal"/>
        <w:spacing w:lineRule="auto" w:line="276"/>
        <w:ind w:left="4248" w:firstLine="708"/>
        <w:jc w:val="center"/>
        <w:rPr>
          <w:rFonts w:ascii="Times New Roman" w:hAnsi="Times New Roman" w:cs="Times New Roman"/>
          <w:i/>
          <w:i/>
          <w:iCs/>
          <w:sz w:val="24"/>
          <w:szCs w:val="24"/>
        </w:rPr>
      </w:pPr>
      <w:r>
        <w:rPr>
          <w:rFonts w:cs="Times New Roman" w:ascii="Times New Roman" w:hAnsi="Times New Roman"/>
          <w:i/>
          <w:iCs/>
          <w:sz w:val="24"/>
          <w:szCs w:val="24"/>
        </w:rPr>
        <w:t>Ravnateljica</w:t>
      </w:r>
    </w:p>
    <w:p>
      <w:pPr>
        <w:pStyle w:val="Normal"/>
        <w:spacing w:lineRule="auto" w:line="276"/>
        <w:ind w:left="4248" w:firstLine="708"/>
        <w:jc w:val="center"/>
        <w:rPr/>
      </w:pPr>
      <w:r>
        <w:rPr>
          <w:rFonts w:cs="Times New Roman" w:ascii="Times New Roman" w:hAnsi="Times New Roman"/>
          <w:i/>
          <w:iCs/>
          <w:sz w:val="24"/>
          <w:szCs w:val="24"/>
        </w:rPr>
        <w:t>Mandalena Sinković Pavlović</w:t>
      </w:r>
    </w:p>
    <w:sectPr>
      <w:type w:val="nextPage"/>
      <w:pgSz w:w="11906" w:h="16838"/>
      <w:pgMar w:left="1417" w:right="1417" w:header="0" w:top="1417" w:footer="0" w:bottom="1417"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Liberation Sans">
    <w:altName w:val="Arial"/>
    <w:charset w:val="ee"/>
    <w:family w:val="swiss"/>
    <w:pitch w:val="variable"/>
  </w:font>
  <w:font w:name="Times New Roman">
    <w:charset w:val="ee"/>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hr-H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hr-HR" w:eastAsia="en-US" w:bidi="ar-SA"/>
      </w:rPr>
    </w:rPrDefault>
    <w:pPrDefault>
      <w:pPr>
        <w:spacing w:lineRule="auto" w:line="259"/>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sz w:val="22"/>
      <w:szCs w:val="22"/>
      <w:lang w:val="hr-HR" w:eastAsia="en-US" w:bidi="ar-SA"/>
    </w:rPr>
  </w:style>
  <w:style w:type="character" w:styleId="DefaultParagraphFont" w:default="1">
    <w:name w:val="Default Paragraph Font"/>
    <w:uiPriority w:val="1"/>
    <w:semiHidden/>
    <w:unhideWhenUsed/>
    <w:qFormat/>
    <w:rPr/>
  </w:style>
  <w:style w:type="paragraph" w:styleId="Stilnaslova">
    <w:name w:val="Stil naslova"/>
    <w:basedOn w:val="Normal"/>
    <w:next w:val="Tijeloteksta"/>
    <w:qFormat/>
    <w:pPr>
      <w:keepNext/>
      <w:spacing w:before="240" w:after="120"/>
    </w:pPr>
    <w:rPr>
      <w:rFonts w:ascii="Liberation Sans" w:hAnsi="Liberation Sans" w:eastAsia="Microsoft YaHei" w:cs="Arial"/>
      <w:sz w:val="28"/>
      <w:szCs w:val="28"/>
    </w:rPr>
  </w:style>
  <w:style w:type="paragraph" w:styleId="Tijeloteksta">
    <w:name w:val="Tijelo teksta"/>
    <w:basedOn w:val="Normal"/>
    <w:pPr>
      <w:spacing w:lineRule="auto" w:line="288" w:before="0" w:after="140"/>
    </w:pPr>
    <w:rPr/>
  </w:style>
  <w:style w:type="paragraph" w:styleId="Popis">
    <w:name w:val="Popis"/>
    <w:basedOn w:val="Tijeloteksta"/>
    <w:pPr/>
    <w:rPr>
      <w:rFonts w:cs="Arial"/>
    </w:rPr>
  </w:style>
  <w:style w:type="paragraph" w:styleId="Opiselementa">
    <w:name w:val="Opis elementa"/>
    <w:basedOn w:val="Normal"/>
    <w:pPr>
      <w:suppressLineNumbers/>
      <w:spacing w:before="120" w:after="120"/>
    </w:pPr>
    <w:rPr>
      <w:rFonts w:cs="Arial"/>
      <w:i/>
      <w:iCs/>
      <w:sz w:val="24"/>
      <w:szCs w:val="24"/>
    </w:rPr>
  </w:style>
  <w:style w:type="paragraph" w:styleId="Indeks">
    <w:name w:val="Indeks"/>
    <w:basedOn w:val="Normal"/>
    <w:qFormat/>
    <w:pPr>
      <w:suppressLineNumbers/>
    </w:pPr>
    <w:rPr>
      <w:rFonts w:cs="Arial"/>
    </w:rPr>
  </w:style>
  <w:style w:type="paragraph" w:styleId="ListParagraph">
    <w:name w:val="List Paragraph"/>
    <w:basedOn w:val="Normal"/>
    <w:uiPriority w:val="34"/>
    <w:qFormat/>
    <w:rsid w:val="00373b58"/>
    <w:pPr>
      <w:spacing w:before="0" w:after="160"/>
      <w:ind w:left="720" w:hanging="0"/>
      <w:contextualSpacing/>
    </w:pPr>
    <w:rPr/>
  </w:style>
  <w:style w:type="numbering" w:styleId="NoList" w:default="1">
    <w:name w:val="No List"/>
    <w:uiPriority w:val="99"/>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234</TotalTime>
  <Application>LibreOffice/5.0.0.5$Windows_x86 LibreOffice_project/1b1a90865e348b492231e1c451437d7a15bb262b</Application>
  <Paragraphs>44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2020-01-28T12:05:00Z</dcterms:created>
  <dc:creator>Opc.Gradac.4</dc:creator>
  <dc:language>hr-HR</dc:language>
  <cp:lastModifiedBy>Opc.Gradac.4</cp:lastModifiedBy>
  <cp:lastPrinted>2020-01-29T13:08:00Z</cp:lastPrinted>
  <dcterms:modified xsi:type="dcterms:W3CDTF">2020-01-30T08:16:00Z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