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>Temeljem čl. 3. Zakona o fiskalnoj odgovornosti (NN 139/10.) i čl. 1. Uredbe o sastavljanju i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>predaji Izjave o fiskalnoj odgovornosti (NN 78/11.), ravnatelj Općinske knjižnice donosi</w:t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O D L U K A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 PROCEDURI ZAPRIMANJA RAČUNA, NJIHOVE PROVJERE I PRAVOVREMENOG PLAĆANJA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Članak 1.</w:t>
      </w:r>
    </w:p>
    <w:p>
      <w:pPr>
        <w:pStyle w:val="Normal"/>
        <w:spacing w:lineRule="auto" w:line="360" w:before="0" w:after="0"/>
        <w:ind w:firstLine="708"/>
        <w:rPr/>
      </w:pPr>
      <w:r>
        <w:rPr>
          <w:rFonts w:cs="Times New Roman" w:ascii="Times New Roman" w:hAnsi="Times New Roman"/>
        </w:rPr>
        <w:t>Ovom odlukom propisuje se procedura zaprimanja i provjere računa te plaćanja po računima u Općinskoj knjižnici Hrvatska sloga Gradac</w:t>
      </w:r>
    </w:p>
    <w:p>
      <w:pPr>
        <w:pStyle w:val="Normal"/>
        <w:spacing w:lineRule="auto" w:line="360" w:before="0" w:after="0"/>
        <w:ind w:firstLine="70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Reetkatablice"/>
        <w:tblW w:w="9288" w:type="dxa"/>
        <w:jc w:val="left"/>
        <w:tblInd w:w="-5" w:type="dxa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126"/>
        <w:gridCol w:w="1559"/>
        <w:gridCol w:w="1843"/>
        <w:gridCol w:w="1667"/>
      </w:tblGrid>
      <w:tr>
        <w:trPr>
          <w:trHeight w:val="374" w:hRule="atLeast"/>
        </w:trPr>
        <w:tc>
          <w:tcPr>
            <w:tcW w:w="2093" w:type="dxa"/>
            <w:vMerge w:val="restart"/>
            <w:tcBorders/>
            <w:shd w:color="auto" w:fill="D6E3BC" w:themeFill="accent3" w:themeFillTint="66" w:val="clear"/>
            <w:tcMar>
              <w:left w:w="103" w:type="dxa"/>
            </w:tcMar>
            <w:vAlign w:val="center"/>
          </w:tcPr>
          <w:p>
            <w:pPr>
              <w:pStyle w:val="ListParagraph"/>
              <w:tabs>
                <w:tab w:val="left" w:pos="567" w:leader="none"/>
              </w:tabs>
              <w:spacing w:lineRule="auto" w:line="360" w:before="0" w:after="0"/>
              <w:ind w:left="0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Dijagram tijeka</w:t>
            </w:r>
          </w:p>
        </w:tc>
        <w:tc>
          <w:tcPr>
            <w:tcW w:w="2126" w:type="dxa"/>
            <w:vMerge w:val="restart"/>
            <w:tcBorders/>
            <w:shd w:color="auto" w:fill="D6E3BC" w:themeFill="accent3" w:themeFillTint="66" w:val="clear"/>
            <w:tcMar>
              <w:left w:w="103" w:type="dxa"/>
            </w:tcMar>
            <w:vAlign w:val="center"/>
          </w:tcPr>
          <w:p>
            <w:pPr>
              <w:pStyle w:val="ListParagraph"/>
              <w:tabs>
                <w:tab w:val="left" w:pos="567" w:leader="none"/>
              </w:tabs>
              <w:spacing w:lineRule="auto" w:line="360" w:before="0" w:after="0"/>
              <w:ind w:left="0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Aktivnosti</w:t>
            </w:r>
          </w:p>
        </w:tc>
        <w:tc>
          <w:tcPr>
            <w:tcW w:w="3402" w:type="dxa"/>
            <w:gridSpan w:val="2"/>
            <w:tcBorders/>
            <w:shd w:color="auto" w:fill="D6E3BC" w:themeFill="accent3" w:themeFillTint="66" w:val="clear"/>
            <w:tcMar>
              <w:left w:w="103" w:type="dxa"/>
            </w:tcMar>
            <w:vAlign w:val="center"/>
          </w:tcPr>
          <w:p>
            <w:pPr>
              <w:pStyle w:val="ListParagraph"/>
              <w:tabs>
                <w:tab w:val="left" w:pos="567" w:leader="none"/>
              </w:tabs>
              <w:spacing w:lineRule="auto" w:line="360" w:before="0" w:after="0"/>
              <w:ind w:left="0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Izvršenje</w:t>
            </w:r>
          </w:p>
        </w:tc>
        <w:tc>
          <w:tcPr>
            <w:tcW w:w="1667" w:type="dxa"/>
            <w:vMerge w:val="restart"/>
            <w:tcBorders/>
            <w:shd w:color="auto" w:fill="D6E3BC" w:themeFill="accent3" w:themeFillTint="66" w:val="clear"/>
            <w:tcMar>
              <w:left w:w="103" w:type="dxa"/>
            </w:tcMar>
            <w:vAlign w:val="center"/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Popratni dokumenti</w:t>
            </w:r>
          </w:p>
        </w:tc>
      </w:tr>
      <w:tr>
        <w:trPr>
          <w:trHeight w:val="144" w:hRule="atLeast"/>
        </w:trPr>
        <w:tc>
          <w:tcPr>
            <w:tcW w:w="2093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360" w:before="0" w:after="0"/>
              <w:ind w:left="0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6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360" w:before="0" w:after="0"/>
              <w:ind w:left="0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9" w:type="dxa"/>
            <w:tcBorders/>
            <w:shd w:color="auto" w:fill="D6E3BC" w:themeFill="accent3" w:themeFillTint="66" w:val="clear"/>
            <w:tcMar>
              <w:left w:w="103" w:type="dxa"/>
            </w:tcMar>
            <w:vAlign w:val="center"/>
          </w:tcPr>
          <w:p>
            <w:pPr>
              <w:pStyle w:val="ListParagraph"/>
              <w:tabs>
                <w:tab w:val="left" w:pos="567" w:leader="none"/>
              </w:tabs>
              <w:spacing w:lineRule="auto" w:line="360" w:before="0" w:after="0"/>
              <w:ind w:left="0" w:hanging="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Odgovornost</w:t>
            </w:r>
          </w:p>
        </w:tc>
        <w:tc>
          <w:tcPr>
            <w:tcW w:w="1843" w:type="dxa"/>
            <w:tcBorders/>
            <w:shd w:color="auto" w:fill="D6E3BC" w:themeFill="accent3" w:themeFillTint="66" w:val="clear"/>
            <w:tcMar>
              <w:left w:w="103" w:type="dxa"/>
            </w:tcMar>
            <w:vAlign w:val="center"/>
          </w:tcPr>
          <w:p>
            <w:pPr>
              <w:pStyle w:val="ListParagraph"/>
              <w:tabs>
                <w:tab w:val="left" w:pos="567" w:leader="none"/>
              </w:tabs>
              <w:spacing w:lineRule="auto" w:line="360" w:before="0" w:after="0"/>
              <w:ind w:left="0" w:hanging="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Rok</w:t>
            </w:r>
          </w:p>
        </w:tc>
        <w:tc>
          <w:tcPr>
            <w:tcW w:w="1667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360" w:before="0" w:after="0"/>
              <w:ind w:left="0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74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Zaprimanje računa u elektroničkom obliku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E-računi se zaprimaju i preuzimaju u računovodstvu u programu </w:t>
            </w:r>
          </w:p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>Moju e račun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Najviše 2 radna dana od mail-a da je stigao e-račun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E-račun</w:t>
            </w:r>
          </w:p>
        </w:tc>
      </w:tr>
      <w:tr>
        <w:trPr>
          <w:trHeight w:val="374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Pretvaranje e-računa u papirnati oblik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>E-računi se štampaju na papir u PDF-u, i upisuje datum zaprimanja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Istog dana kao i zaprimanje e-računa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E-račun u papirnatom obliku</w:t>
            </w:r>
          </w:p>
        </w:tc>
      </w:tr>
      <w:tr>
        <w:trPr>
          <w:trHeight w:val="374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Upis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E-računi se upisuju u knjigu ulaznih računa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Istog dana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Ulazni e-račun</w:t>
            </w:r>
          </w:p>
        </w:tc>
      </w:tr>
      <w:tr>
        <w:trPr>
          <w:trHeight w:val="388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Primanje e-računa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Provođenje formalne i računske kontrole- upisivanje datuma kontrole i potpis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Istog dana, a najkasnije sljedećeg radnog dana od zaprimanja e-računa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E-račun u papirnatom obliku, ulazni e-račun</w:t>
            </w:r>
          </w:p>
        </w:tc>
      </w:tr>
      <w:tr>
        <w:trPr>
          <w:trHeight w:val="388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Suštinska kontrola e-računa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Kompletiranje e-računa s otpremnicom, izvješćem, radnim nalogom ili drugom potvrdom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 roku od 2 dana od zaprimanja e-računa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Ulazni e-računi, otpremnica, radni nalog, izvješća i slično</w:t>
            </w:r>
          </w:p>
        </w:tc>
      </w:tr>
      <w:tr>
        <w:trPr>
          <w:trHeight w:val="388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Odobrenje e-računa za plaćanje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Potpis na prijamni štambilj na e-računu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>Ravnatelj/riznica – nadležni proračun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dana nakon provjere računske kontrole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E-račun </w:t>
            </w:r>
          </w:p>
        </w:tc>
      </w:tr>
      <w:tr>
        <w:trPr>
          <w:trHeight w:val="388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Obrada 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Razvrstavanje e-računa prema dodijeljenim brojeva nakon prihvaćanja i prijepisa (URA, Riznica)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Unutar mjeseca na koji se odnosi račun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Računski plan</w:t>
            </w:r>
          </w:p>
        </w:tc>
      </w:tr>
      <w:tr>
        <w:trPr>
          <w:trHeight w:val="388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Kontiranje knjiženje računa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Razvrstavanje e-računa prema vrstama rashoda, programima, aktivnostima, izvorima financiranja i kontima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Unutar mjeseca na koji se odnosi račun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Računski plan</w:t>
            </w:r>
          </w:p>
        </w:tc>
      </w:tr>
      <w:tr>
        <w:trPr>
          <w:trHeight w:val="388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Odlaganje računa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Odlaganje e-računa prema redoslijedu broja ulaznih računa u registrator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Unutar mjeseca na koji se odnosi račun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88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Slanje e-računa na naplatu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Slanje e-računa na naplatu putem likvidature u Riznici 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Prema dospijeću plaćanja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Zahtjev za plaćanje</w:t>
            </w:r>
          </w:p>
        </w:tc>
      </w:tr>
      <w:tr>
        <w:trPr>
          <w:trHeight w:val="388" w:hRule="atLeast"/>
        </w:trPr>
        <w:tc>
          <w:tcPr>
            <w:tcW w:w="209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Plaćanje e-računa prema dospijeću</w:t>
            </w:r>
          </w:p>
        </w:tc>
        <w:tc>
          <w:tcPr>
            <w:tcW w:w="2126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Prihvat i o</w:t>
            </w:r>
            <w:r>
              <w:rPr>
                <w:rFonts w:cs="Times New Roman" w:ascii="Times New Roman" w:hAnsi="Times New Roman"/>
              </w:rPr>
              <w:t xml:space="preserve">dobrenje zahtjeva za plaćanje u Riznici preko likvidature – potpis ovlaštenih osoba </w:t>
            </w:r>
          </w:p>
        </w:tc>
        <w:tc>
          <w:tcPr>
            <w:tcW w:w="1559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računovodstvo</w:t>
            </w:r>
          </w:p>
        </w:tc>
        <w:tc>
          <w:tcPr>
            <w:tcW w:w="1843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Prema dospijeću plaćanja</w:t>
            </w:r>
          </w:p>
        </w:tc>
        <w:tc>
          <w:tcPr>
            <w:tcW w:w="1667" w:type="dxa"/>
            <w:tcBorders/>
            <w:shd w:fill="auto" w:val="clear"/>
            <w:tcMar>
              <w:left w:w="103" w:type="dxa"/>
            </w:tcMar>
          </w:tcPr>
          <w:p>
            <w:pPr>
              <w:pStyle w:val="ListParagraph"/>
              <w:tabs>
                <w:tab w:val="left" w:pos="567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Riznica - Obavijest o knjiženju </w:t>
            </w:r>
          </w:p>
        </w:tc>
      </w:tr>
    </w:tbl>
    <w:p>
      <w:pPr>
        <w:pStyle w:val="ListParagraph"/>
        <w:tabs>
          <w:tab w:val="left" w:pos="567" w:leader="none"/>
        </w:tabs>
        <w:spacing w:lineRule="auto" w:line="360" w:before="0" w:after="0"/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left" w:pos="567" w:leader="none"/>
        </w:tabs>
        <w:spacing w:lineRule="auto" w:line="36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Članak 2.</w:t>
      </w:r>
    </w:p>
    <w:p>
      <w:pPr>
        <w:pStyle w:val="Normal"/>
        <w:spacing w:lineRule="auto" w:line="360" w:before="0" w:after="0"/>
        <w:ind w:firstLine="708"/>
        <w:rPr/>
      </w:pPr>
      <w:r>
        <w:rPr>
          <w:rFonts w:cs="Times New Roman" w:ascii="Times New Roman" w:hAnsi="Times New Roman"/>
        </w:rPr>
        <w:t>Ova odluka objavljena je na oglasnoj ploči i na internetskim stranicama Općinske knjižnice Hrvatska sloga Gradac  te je stupila na snagu danom objave.</w:t>
      </w:r>
    </w:p>
    <w:p>
      <w:pPr>
        <w:pStyle w:val="Normal"/>
        <w:spacing w:lineRule="auto" w:line="360" w:before="0" w:after="0"/>
        <w:ind w:firstLine="70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firstLine="708"/>
        <w:rPr/>
      </w:pPr>
      <w:r>
        <w:rPr>
          <w:rFonts w:cs="Times New Roman" w:ascii="Times New Roman" w:hAnsi="Times New Roman"/>
        </w:rPr>
        <w:t>U Gradcu, 18.10.2019.g.</w:t>
      </w:r>
    </w:p>
    <w:p>
      <w:pPr>
        <w:pStyle w:val="Normal"/>
        <w:spacing w:before="0" w:after="0"/>
        <w:ind w:left="5664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</w:t>
      </w:r>
    </w:p>
    <w:p>
      <w:pPr>
        <w:pStyle w:val="Normal"/>
        <w:spacing w:before="0" w:after="0"/>
        <w:ind w:left="5664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ind w:left="5664" w:hanging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</w:t>
      </w:r>
      <w:r>
        <w:rPr>
          <w:rFonts w:cs="Times New Roman" w:ascii="Times New Roman" w:hAnsi="Times New Roman"/>
        </w:rPr>
        <w:t>Ravnatelj:</w:t>
        <w:tab/>
        <w:tab/>
        <w:tab/>
      </w:r>
    </w:p>
    <w:p>
      <w:pPr>
        <w:pStyle w:val="Normal"/>
        <w:spacing w:before="0" w:after="0"/>
        <w:ind w:left="4956" w:hanging="0"/>
        <w:jc w:val="center"/>
        <w:rPr/>
      </w:pPr>
      <w:r>
        <w:rPr>
          <w:rFonts w:cs="Times New Roman" w:ascii="Times New Roman" w:hAnsi="Times New Roman"/>
        </w:rPr>
        <w:t xml:space="preserve">Mandalena Sinković Pavlović, ravnateljica   </w:t>
        <w:tab/>
        <w:tab/>
        <w:tab/>
        <w:tab/>
      </w:r>
    </w:p>
    <w:p>
      <w:pPr>
        <w:pStyle w:val="Normal"/>
        <w:spacing w:before="0" w:after="160"/>
        <w:ind w:firstLine="708"/>
        <w:jc w:val="right"/>
        <w:rPr/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Svijetlosjenanje1"/>
      <w:tblW w:w="6076" w:type="dxa"/>
      <w:jc w:val="left"/>
      <w:tblInd w:w="-175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2551"/>
      <w:gridCol w:w="3524"/>
    </w:tblGrid>
    <w:tr>
      <w:trPr>
        <w:trHeight w:val="1353" w:hRule="atLeast"/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551" w:type="dxa"/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Borders>
            <w:bottom w:val="nil"/>
            <w:insideH w:val="nil"/>
          </w:tcBorders>
          <w:shd w:color="auto" w:fill="FFFFFF" w:themeFill="background1" w:val="clear"/>
        </w:tcPr>
        <w:p>
          <w:pPr>
            <w:pStyle w:val="Normal"/>
            <w:spacing w:lineRule="auto" w:line="254" w:before="0" w:after="0"/>
            <w:ind w:left="0" w:hanging="0"/>
            <w:rPr>
              <w:b/>
              <w:b/>
              <w:bCs/>
              <w:color w:val="000000" w:themeColor="text1" w:themeShade="bf"/>
            </w:rPr>
          </w:pPr>
          <w:r>
            <w:rPr>
              <w:rFonts w:cs="Times New Roman" w:ascii="Times New Roman" w:hAnsi="Times New Roman"/>
              <w:b w:val="false"/>
              <w:bCs/>
              <w:color w:val="1F497D" w:themeColor="text2" w:themeShade="bf"/>
              <w:sz w:val="16"/>
              <w:szCs w:val="16"/>
            </w:rPr>
            <w:t>Općinska knjižnica Hrvatska sloga Gradac</w:t>
          </w:r>
        </w:p>
        <w:p>
          <w:pPr>
            <w:pStyle w:val="Normal"/>
            <w:spacing w:lineRule="auto" w:line="254" w:before="0" w:after="0"/>
            <w:ind w:left="0" w:hanging="0"/>
            <w:rPr>
              <w:b/>
              <w:b/>
              <w:bCs/>
              <w:color w:val="000000" w:themeColor="text1" w:themeShade="bf"/>
            </w:rPr>
          </w:pPr>
          <w:r>
            <w:rPr>
              <w:rFonts w:cs="Times New Roman" w:ascii="Times New Roman" w:hAnsi="Times New Roman"/>
              <w:b w:val="false"/>
              <w:bCs/>
              <w:color w:val="1F497D" w:themeColor="text2" w:themeShade="bf"/>
              <w:sz w:val="16"/>
              <w:szCs w:val="16"/>
            </w:rPr>
            <w:t>Jadranska 107,</w:t>
          </w:r>
        </w:p>
        <w:p>
          <w:pPr>
            <w:pStyle w:val="Normal"/>
            <w:spacing w:lineRule="auto" w:line="254" w:before="0" w:after="0"/>
            <w:ind w:left="0" w:hanging="0"/>
            <w:rPr>
              <w:b/>
              <w:b/>
              <w:bCs/>
              <w:color w:val="000000" w:themeColor="text1" w:themeShade="bf"/>
            </w:rPr>
          </w:pPr>
          <w:r>
            <w:rPr>
              <w:rFonts w:cs="Times New Roman" w:ascii="Times New Roman" w:hAnsi="Times New Roman"/>
              <w:b w:val="false"/>
              <w:bCs/>
              <w:color w:val="1F497D" w:themeColor="text2" w:themeShade="bf"/>
              <w:sz w:val="16"/>
              <w:szCs w:val="16"/>
            </w:rPr>
            <w:t>21330, Gradac</w:t>
          </w:r>
        </w:p>
      </w:tc>
      <w:tc>
        <w:tcPr>
          <w:tcW w:w="3524" w:type="dxa"/>
          <w:tcBorders>
            <w:bottom w:val="nil"/>
            <w:insideH w:val="nil"/>
          </w:tcBorders>
          <w:shd w:color="auto" w:fill="FFFFFF" w:themeFill="background1" w:val="clear"/>
        </w:tcPr>
        <w:p>
          <w:pPr>
            <w:pStyle w:val="Normal"/>
            <w:spacing w:lineRule="auto" w:line="254" w:before="0" w:after="0"/>
            <w:ind w:hanging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Times New Roman" w:hAnsi="Times New Roman" w:cs="Times New Roman"/>
              <w:b/>
              <w:b/>
              <w:bCs/>
              <w:color w:val="000000" w:themeColor="text1" w:themeShade="bf"/>
              <w:sz w:val="18"/>
              <w:szCs w:val="18"/>
            </w:rPr>
          </w:pPr>
          <w:r>
            <w:rPr>
              <w:rFonts w:cs="Times New Roman" w:ascii="Times New Roman" w:hAnsi="Times New Roman"/>
              <w:b/>
              <w:bCs/>
              <w:color w:val="000000" w:themeColor="text1" w:themeShade="bf"/>
              <w:sz w:val="18"/>
              <w:szCs w:val="18"/>
            </w:rPr>
          </w:r>
        </w:p>
      </w:tc>
    </w:tr>
  </w:tbl>
  <w:p>
    <w:pPr>
      <w:pStyle w:val="Normal"/>
      <w:spacing w:lineRule="auto" w:line="254" w:before="0" w:after="0"/>
      <w:rPr>
        <w:rFonts w:ascii="Times New Roman" w:hAnsi="Times New Roman" w:cs="Times New Roman"/>
        <w:b/>
        <w:b/>
        <w:color w:val="1F497D" w:themeColor="text2"/>
        <w:sz w:val="16"/>
        <w:szCs w:val="16"/>
      </w:rPr>
    </w:pPr>
    <w:r>
      <w:rPr>
        <w:rFonts w:cs="Times New Roman" w:ascii="Times New Roman" w:hAnsi="Times New Roman"/>
        <w:b/>
        <w:color w:val="1F497D" w:themeColor="text2"/>
        <w:sz w:val="16"/>
        <w:szCs w:val="16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a119b"/>
    <w:pPr>
      <w:widowControl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hr-HR" w:eastAsia="en-US" w:bidi="ar-SA"/>
    </w:rPr>
  </w:style>
  <w:style w:type="paragraph" w:styleId="Stilnaslova1">
    <w:name w:val="Stil naslova 1"/>
    <w:basedOn w:val="Stilnaslova"/>
    <w:pPr/>
    <w:rPr/>
  </w:style>
  <w:style w:type="paragraph" w:styleId="Stilnaslova2">
    <w:name w:val="Stil naslova 2"/>
    <w:basedOn w:val="Stilnaslova"/>
    <w:pPr/>
    <w:rPr/>
  </w:style>
  <w:style w:type="paragraph" w:styleId="Stilnaslova3">
    <w:name w:val="Stil naslova 3"/>
    <w:basedOn w:val="Stilnaslova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116911"/>
    <w:rPr>
      <w:rFonts w:ascii="Tahoma" w:hAnsi="Tahoma" w:cs="Tahoma"/>
      <w:sz w:val="16"/>
      <w:szCs w:val="16"/>
    </w:rPr>
  </w:style>
  <w:style w:type="character" w:styleId="ZaglavljeChar" w:customStyle="1">
    <w:name w:val="Zaglavlje Char"/>
    <w:basedOn w:val="DefaultParagraphFont"/>
    <w:link w:val="Zaglavlje"/>
    <w:uiPriority w:val="99"/>
    <w:qFormat/>
    <w:rsid w:val="00116911"/>
    <w:rPr/>
  </w:style>
  <w:style w:type="character" w:styleId="PodnojeChar" w:customStyle="1">
    <w:name w:val="Podnožje Char"/>
    <w:basedOn w:val="DefaultParagraphFont"/>
    <w:link w:val="Podnoje"/>
    <w:uiPriority w:val="99"/>
    <w:semiHidden/>
    <w:qFormat/>
    <w:rsid w:val="00116911"/>
    <w:rPr/>
  </w:style>
  <w:style w:type="character" w:styleId="Internetskapoveznica">
    <w:name w:val="Internetska poveznica"/>
    <w:basedOn w:val="DefaultParagraphFont"/>
    <w:uiPriority w:val="99"/>
    <w:semiHidden/>
    <w:unhideWhenUsed/>
    <w:rsid w:val="00116911"/>
    <w:rPr>
      <w:color w:val="0000FF" w:themeColor="hyperlink"/>
      <w:u w:val="single"/>
    </w:rPr>
  </w:style>
  <w:style w:type="character" w:styleId="ListLabel1">
    <w:name w:val="ListLabel 1"/>
    <w:qFormat/>
    <w:rPr>
      <w:rFonts w:eastAsia="Calibri" w:cs="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eastAsia="Calibri" w:cs="Times New Roman"/>
    </w:rPr>
  </w:style>
  <w:style w:type="paragraph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Tijelo teksta"/>
    <w:basedOn w:val="Normal"/>
    <w:pPr>
      <w:spacing w:lineRule="auto" w:line="288" w:before="0" w:after="140"/>
    </w:pPr>
    <w:rPr/>
  </w:style>
  <w:style w:type="paragraph" w:styleId="Popis">
    <w:name w:val="Popis"/>
    <w:basedOn w:val="Tijeloteksta"/>
    <w:pPr/>
    <w:rPr>
      <w:rFonts w:cs="Arial"/>
    </w:rPr>
  </w:style>
  <w:style w:type="paragraph" w:styleId="Opiselementa">
    <w:name w:val="Opis elementa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a6e73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11691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glavlje">
    <w:name w:val="Zaglavlje"/>
    <w:basedOn w:val="Normal"/>
    <w:link w:val="ZaglavljeChar"/>
    <w:uiPriority w:val="99"/>
    <w:unhideWhenUsed/>
    <w:rsid w:val="00116911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noje">
    <w:name w:val="Podnožje"/>
    <w:basedOn w:val="Normal"/>
    <w:link w:val="PodnojeChar"/>
    <w:uiPriority w:val="99"/>
    <w:semiHidden/>
    <w:unhideWhenUsed/>
    <w:rsid w:val="00116911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itati">
    <w:name w:val="Citati"/>
    <w:basedOn w:val="Normal"/>
    <w:qFormat/>
    <w:pPr/>
    <w:rPr/>
  </w:style>
  <w:style w:type="paragraph" w:styleId="Naslov">
    <w:name w:val="Naslov"/>
    <w:basedOn w:val="Stilnaslova"/>
    <w:pPr/>
    <w:rPr/>
  </w:style>
  <w:style w:type="paragraph" w:styleId="Podnaslov">
    <w:name w:val="Podnaslov"/>
    <w:basedOn w:val="Stilnaslova"/>
    <w:pPr/>
    <w:rPr/>
  </w:style>
  <w:style w:type="numbering" w:styleId="NoList" w:default="1">
    <w:name w:val="No List"/>
    <w:uiPriority w:val="99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rsid w:val="0011691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Svijetlosjenanje1">
    <w:name w:val="Svijetlo sjenčanje1"/>
    <w:basedOn w:val="Obinatablica"/>
    <w:uiPriority w:val="60"/>
    <w:rsid w:val="0011691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ijetlosjenanje-Isticanje11">
    <w:name w:val="Svijetlo sjenčanje - Isticanje 11"/>
    <w:basedOn w:val="Obinatablica"/>
    <w:uiPriority w:val="60"/>
    <w:rsid w:val="00b57fa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Svijetlosjenanje2">
    <w:name w:val="Svijetlo sjenčanje2"/>
    <w:basedOn w:val="Obinatablica"/>
    <w:uiPriority w:val="60"/>
    <w:rsid w:val="00b57fa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40CDC-12A6-4C59-9684-6BE5D4A49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LibreOffice/5.0.0.5$Windows_x86 LibreOffice_project/1b1a90865e348b492231e1c451437d7a15bb262b</Application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2022-04-19T08:09:00Z</dcterms:created>
  <dc:creator>Đacki dom</dc:creator>
  <dc:language>hr-HR</dc:language>
  <cp:lastPrinted>2019-10-30T11:16:00Z</cp:lastPrinted>
  <dcterms:modified xsi:type="dcterms:W3CDTF">2025-02-19T15:46:55Z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